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70A04" w:rsidRPr="00E70A04" w:rsidRDefault="00E70A04" w:rsidP="00E70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 R O I E C T   D E   D E C I Z I E</w:t>
      </w:r>
    </w:p>
    <w:p w:rsidR="00402079" w:rsidRDefault="00402079" w:rsidP="007B5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aprobarea</w:t>
      </w:r>
      <w:r w:rsidR="007050A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taxelor locale pentru anul 2019</w:t>
      </w:r>
    </w:p>
    <w:p w:rsidR="00402079" w:rsidRDefault="00402079" w:rsidP="008553B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>
        <w:rPr>
          <w:rFonts w:ascii="Times New Roman" w:hAnsi="Times New Roman" w:cs="Times New Roman"/>
          <w:sz w:val="27"/>
          <w:szCs w:val="27"/>
          <w:lang w:val="ro-RO"/>
        </w:rPr>
        <w:t xml:space="preserve">În conformitate cu prevederile Codului Fiscal al Republicii Moldova nr. 93-XV din 01 aprilie 2004, Titlul-VII Taxele locale și în temeiul art. 14 alin. (2) lit. a) al Legii nr. 436-XVI din 28 decembrie 2006 privind administrația publică locală, Consiliul </w:t>
      </w:r>
      <w:r w:rsidR="00D07B44">
        <w:rPr>
          <w:rFonts w:ascii="Times New Roman" w:hAnsi="Times New Roman" w:cs="Times New Roman"/>
          <w:sz w:val="27"/>
          <w:szCs w:val="27"/>
          <w:lang w:val="ro-RO"/>
        </w:rPr>
        <w:t>orășenesc</w:t>
      </w:r>
      <w:r>
        <w:rPr>
          <w:rFonts w:ascii="Times New Roman" w:hAnsi="Times New Roman" w:cs="Times New Roman"/>
          <w:sz w:val="27"/>
          <w:szCs w:val="27"/>
          <w:lang w:val="ro-RO"/>
        </w:rPr>
        <w:t xml:space="preserve"> Ialoveni,</w:t>
      </w:r>
    </w:p>
    <w:p w:rsidR="00402079" w:rsidRPr="008553B1" w:rsidRDefault="00402079" w:rsidP="007B5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DECIDE:</w:t>
      </w:r>
    </w:p>
    <w:p w:rsidR="00402079" w:rsidRDefault="00402079" w:rsidP="007B5D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aprobă şi se pun în aplicare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începând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Pr="00C206EF">
        <w:rPr>
          <w:rFonts w:ascii="Times New Roman" w:hAnsi="Times New Roman" w:cs="Times New Roman"/>
          <w:b/>
          <w:i/>
          <w:sz w:val="28"/>
          <w:szCs w:val="28"/>
          <w:lang w:val="ro-RO"/>
        </w:rPr>
        <w:t>1 ianuarie 201</w:t>
      </w:r>
      <w:r w:rsidR="00373CE8" w:rsidRPr="00C206EF">
        <w:rPr>
          <w:rFonts w:ascii="Times New Roman" w:hAnsi="Times New Roman" w:cs="Times New Roman"/>
          <w:b/>
          <w:i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teritoriul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orașului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Ialoveni următoarele taxe locale: </w:t>
      </w:r>
    </w:p>
    <w:p w:rsidR="00402079" w:rsidRDefault="00402079" w:rsidP="007B5D2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pentru amenajarea teritoriului;</w:t>
      </w:r>
    </w:p>
    <w:p w:rsidR="00402079" w:rsidRDefault="00402079" w:rsidP="007B5D2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de organizare a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licitațiilorși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loteriilor pe teritoriul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orașului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Ialoveni;</w:t>
      </w:r>
    </w:p>
    <w:p w:rsidR="00402079" w:rsidRDefault="00402079" w:rsidP="007B5D2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deplasare (amplasare) a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publicității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(reclamei);</w:t>
      </w:r>
    </w:p>
    <w:p w:rsidR="00402079" w:rsidRDefault="00402079" w:rsidP="007B5D2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de aplicare a simbolicii locale;</w:t>
      </w:r>
    </w:p>
    <w:p w:rsidR="00402079" w:rsidRDefault="00402079" w:rsidP="007B5D2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pentru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unitățile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comerciale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>/sau de prestări servicii;</w:t>
      </w:r>
    </w:p>
    <w:p w:rsidR="00402079" w:rsidRDefault="00402079" w:rsidP="007B5D2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de piață;</w:t>
      </w:r>
    </w:p>
    <w:p w:rsidR="00402079" w:rsidRPr="00FD6ECA" w:rsidRDefault="00402079" w:rsidP="007B5D2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taxa balneară;</w:t>
      </w:r>
    </w:p>
    <w:p w:rsidR="00402079" w:rsidRPr="00FD6ECA" w:rsidRDefault="00402079" w:rsidP="007B5D2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taxa pentru prestarea serviciilor de transport auto de călători pentru rutele orășenești;</w:t>
      </w:r>
    </w:p>
    <w:p w:rsidR="00402079" w:rsidRPr="00FD6ECA" w:rsidRDefault="00402079" w:rsidP="007B5D2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taxa pentru parcare;</w:t>
      </w:r>
    </w:p>
    <w:p w:rsidR="001A471C" w:rsidRPr="00402079" w:rsidRDefault="001A471C" w:rsidP="007B5D29">
      <w:pPr>
        <w:tabs>
          <w:tab w:val="left" w:pos="426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p)   taxa pentru salubrizare;</w:t>
      </w:r>
    </w:p>
    <w:p w:rsidR="00402079" w:rsidRDefault="00402079" w:rsidP="007B5D29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q)taxa pentru dispozitivele publicitare.</w:t>
      </w:r>
    </w:p>
    <w:p w:rsidR="00402079" w:rsidRPr="00FD6ECA" w:rsidRDefault="00402079" w:rsidP="007B5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Se stabilesc scutiri integrale de:</w:t>
      </w:r>
    </w:p>
    <w:p w:rsidR="00402079" w:rsidRDefault="00402079" w:rsidP="007B5D2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pentru amenajarea teritoriului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fondatorii gospodăriilor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țărănești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(de fermieri) care au atins vârsta de pensionare;</w:t>
      </w:r>
    </w:p>
    <w:p w:rsidR="00402079" w:rsidRDefault="00402079" w:rsidP="007B5D2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pentru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unitățile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comerciale şi/sau de prestări servicii–persoane care practică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activități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pompe funebre şi acordă servicii similare, inclusiv care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confecționează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sicrie, coroane, flori false, ghirlande;</w:t>
      </w:r>
    </w:p>
    <w:p w:rsidR="00402079" w:rsidRDefault="00402079" w:rsidP="007B5D2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de plasare a </w:t>
      </w:r>
      <w:r w:rsidR="00FD6ECA">
        <w:rPr>
          <w:rFonts w:ascii="Times New Roman" w:hAnsi="Times New Roman" w:cs="Times New Roman"/>
          <w:sz w:val="28"/>
          <w:szCs w:val="28"/>
          <w:lang w:val="ro-RO"/>
        </w:rPr>
        <w:t xml:space="preserve">publicității </w:t>
      </w:r>
      <w:r>
        <w:rPr>
          <w:rFonts w:ascii="Times New Roman" w:hAnsi="Times New Roman" w:cs="Times New Roman"/>
          <w:sz w:val="28"/>
          <w:szCs w:val="28"/>
          <w:lang w:val="ro-RO"/>
        </w:rPr>
        <w:t>–producătorii şi difuzorii de publicitate socială şi de publicitate plasată pe trimiterile poştale;</w:t>
      </w:r>
    </w:p>
    <w:p w:rsidR="00402079" w:rsidRDefault="00402079" w:rsidP="007B5D2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de organizare a licitaţiilor şi loteriilor pe teritoriul oraşului–organizatorii </w:t>
      </w:r>
      <w:r w:rsidR="00FD6ECA">
        <w:rPr>
          <w:rFonts w:ascii="Times New Roman" w:hAnsi="Times New Roman" w:cs="Times New Roman"/>
          <w:sz w:val="28"/>
          <w:szCs w:val="28"/>
          <w:lang w:val="ro-RO"/>
        </w:rPr>
        <w:t>licitațiilor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desfăşurate în scopul asigurării rambursării datoriilor la credite, acoperirii pagubelor, achitării datoriilor la buget, </w:t>
      </w:r>
      <w:r w:rsidR="00C206EF">
        <w:rPr>
          <w:rFonts w:ascii="Times New Roman" w:hAnsi="Times New Roman" w:cs="Times New Roman"/>
          <w:sz w:val="28"/>
          <w:szCs w:val="28"/>
          <w:lang w:val="ro-RO"/>
        </w:rPr>
        <w:t>vânzării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patrimoniului de stat şi patrimoniului oraşului.</w:t>
      </w:r>
    </w:p>
    <w:p w:rsidR="00402079" w:rsidRDefault="00FD6ECA" w:rsidP="007B5D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Subiecți</w:t>
      </w:r>
      <w:r w:rsidR="0040207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ai impunerii sunt persoanele juridice sau fizice, înregistrate în calitate de întreprinzător.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828"/>
        <w:gridCol w:w="3444"/>
      </w:tblGrid>
      <w:tr w:rsidR="00402079" w:rsidRPr="00E70A04" w:rsidTr="00402079">
        <w:trPr>
          <w:trHeight w:val="1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Denumirea taxei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373CE8" w:rsidP="007B5D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Baza impozabilă a </w:t>
            </w:r>
            <w:r w:rsidR="00402079" w:rsidRPr="00D12BDB">
              <w:rPr>
                <w:rFonts w:ascii="Times New Roman" w:hAnsi="Times New Roman" w:cs="Times New Roman"/>
                <w:b/>
                <w:i/>
                <w:lang w:val="ro-RO"/>
              </w:rPr>
              <w:t>obiectului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Unitatea de măsură a cotei</w:t>
            </w:r>
          </w:p>
        </w:tc>
      </w:tr>
      <w:tr w:rsidR="00402079" w:rsidRPr="00E70A04" w:rsidTr="00402079">
        <w:trPr>
          <w:trHeight w:val="12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a)Taxa pentru amenajarea teritoriului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Numărul mediu scriptic trimestrial al salariaţilor şi/sau fondatorii întreprinderilor în cazul în care aceştia activează în întreprinderile fondate, însă nu sunt incluşi în efectivul trimestrial de salariaţi</w:t>
            </w:r>
            <w:r w:rsidR="00D07B44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salariații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din întreprinderi, altele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decât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cele agricole şi fondatorii întreprinderilor – </w:t>
            </w: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200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salariat;</w:t>
            </w:r>
          </w:p>
          <w:p w:rsidR="00402079" w:rsidRPr="00D12BDB" w:rsidRDefault="00402079" w:rsidP="007B5D2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salariații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din sectorul agricol – </w:t>
            </w: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100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salariat;</w:t>
            </w:r>
          </w:p>
          <w:p w:rsidR="00402079" w:rsidRPr="00D12BDB" w:rsidRDefault="00402079" w:rsidP="007B5D2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taxa pentru amenajarea teritoriului pentru fondatorii gospodăriilor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țărănești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(de fermier) – </w:t>
            </w: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50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402079" w:rsidRPr="00D12BDB" w:rsidTr="00402079">
        <w:trPr>
          <w:trHeight w:val="10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lastRenderedPageBreak/>
              <w:t>b) Taxa de organizare a licitaţiilor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 xml:space="preserve"> şi loteriilor pe teritoriul orașului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Ialoveni.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Venitul din vânzări ale bunurilor declarate la </w:t>
            </w:r>
            <w:r w:rsidR="00D07B44" w:rsidRPr="00D12BDB">
              <w:rPr>
                <w:rFonts w:ascii="Times New Roman" w:hAnsi="Times New Roman" w:cs="Times New Roman"/>
                <w:lang w:val="ro-RO"/>
              </w:rPr>
              <w:t>licitație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sau valoarea biletelor de loterie emise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0,1%</w:t>
            </w:r>
          </w:p>
        </w:tc>
      </w:tr>
      <w:tr w:rsidR="00402079" w:rsidRPr="00D12BDB" w:rsidTr="00402079">
        <w:trPr>
          <w:trHeight w:val="21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c) Taxa de amplasare a publicității (reclamei)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,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cu excepția celei amplasate integral în zona de protecție a drumurilor din afara perimetrului localității.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Venitul din v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ânzările serviciilor de plasare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şi/sau difuzare a anunţurilor publicitare prin intermediul serviciilor cinematografice, video, prin reţelele telefonice, telegrafice, telex prin mijloacele de transport, prin alte mijloace (cu excepţia TV, internetului, radioului, presei periodice, tipăriturilor), cu excepţia amplasării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publicității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exterioare.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373CE8" w:rsidRPr="00D12BDB" w:rsidRDefault="00373CE8" w:rsidP="007B5D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5 %</w:t>
            </w:r>
          </w:p>
        </w:tc>
      </w:tr>
      <w:tr w:rsidR="00402079" w:rsidRPr="00D12BDB" w:rsidTr="00402079">
        <w:trPr>
          <w:trHeight w:val="6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d) Taxa de aplicare a simbolicii locale.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Venitul din vânzări ale produselor fabricate cărora i se aplică simbolica locală.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0,1%</w:t>
            </w:r>
          </w:p>
        </w:tc>
      </w:tr>
      <w:tr w:rsidR="00402079" w:rsidRPr="00E70A04" w:rsidTr="00402079">
        <w:trPr>
          <w:trHeight w:val="12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e) Taxa pentru unităţile comerciale şi/sau de prestări servicii.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Suprafața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ocupată de unităţile de comerţ şi/sau de prestări servicii de deservire socială, amplasarea lor, tipul mărfurilor desfăcute şi serviciilor prestate.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până la 100000 lei pentru fiecare unitate de </w:t>
            </w:r>
            <w:r w:rsidR="006376A2" w:rsidRPr="00D12BDB">
              <w:rPr>
                <w:rFonts w:ascii="Times New Roman" w:hAnsi="Times New Roman" w:cs="Times New Roman"/>
                <w:bCs/>
                <w:iCs/>
                <w:lang w:val="ro-RO"/>
              </w:rPr>
              <w:t>comerț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şi/sau de prestări servicii de deservire socială. </w:t>
            </w:r>
          </w:p>
        </w:tc>
      </w:tr>
      <w:tr w:rsidR="006376A2" w:rsidRPr="00E70A04" w:rsidTr="009E10C1">
        <w:trPr>
          <w:trHeight w:val="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f) Taxa de piaţă.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Suprafața totală a terenului şi a imobilelor amplasate pe teritoriul pieței.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7B5D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1 leu anual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metru pătrat.</w:t>
            </w:r>
          </w:p>
        </w:tc>
      </w:tr>
      <w:tr w:rsidR="00402079" w:rsidRPr="00D12BDB" w:rsidTr="00402079">
        <w:trPr>
          <w:trHeight w:val="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f) Taxa balneară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C206EF" w:rsidRDefault="006376A2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06EF"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  <w:t xml:space="preserve">Venitul din </w:t>
            </w:r>
            <w:r w:rsidR="00C206EF" w:rsidRPr="00C206EF"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  <w:t>vânzări</w:t>
            </w:r>
            <w:r w:rsidRPr="00C206EF">
              <w:rPr>
                <w:rFonts w:ascii="Times New Roman" w:hAnsi="Times New Roman" w:cs="Times New Roman"/>
                <w:color w:val="000000"/>
                <w:shd w:val="clear" w:color="auto" w:fill="FFFFFF"/>
                <w:lang w:val="ro-RO"/>
              </w:rPr>
              <w:t xml:space="preserve"> ale biletelor de odihnă şi tratament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7B5D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0,1%</w:t>
            </w:r>
          </w:p>
        </w:tc>
      </w:tr>
      <w:tr w:rsidR="00402079" w:rsidRPr="00E70A04" w:rsidTr="00402079">
        <w:trPr>
          <w:trHeight w:val="14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i) Taxa pentru prestarea serviciilor de transport auto de călători pentru rutele orăşeneşti.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Numărul de unităţi de transport.</w:t>
            </w: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C206EF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Lunar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, câte </w:t>
            </w:r>
            <w:r w:rsidR="006376A2"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200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 xml:space="preserve"> lei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autoturism cu capacitatea de până la </w:t>
            </w:r>
            <w:r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8 locuri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inclusiv.</w:t>
            </w:r>
          </w:p>
          <w:p w:rsidR="00402079" w:rsidRPr="00D12BDB" w:rsidRDefault="00402079" w:rsidP="007B5D2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C206EF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Lunar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700 lei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autovehicul cu capacitatea </w:t>
            </w:r>
            <w:r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de la 9 până la 16 locuri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inclusiv.</w:t>
            </w:r>
          </w:p>
          <w:p w:rsidR="006376A2" w:rsidRPr="00D12BDB" w:rsidRDefault="006376A2" w:rsidP="007B5D2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C206EF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Lunar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, 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1050</w:t>
            </w:r>
            <w:r w:rsidR="00402079"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 xml:space="preserve"> lei</w:t>
            </w:r>
            <w:r w:rsidR="00402079"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autobuz cu capacitatea </w:t>
            </w:r>
            <w:r w:rsidR="00402079"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de la 17 până la 24 de locuri</w:t>
            </w:r>
            <w:r w:rsidR="00402079"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inclusiv.</w:t>
            </w:r>
          </w:p>
          <w:p w:rsidR="00402079" w:rsidRPr="00D12BDB" w:rsidRDefault="00402079" w:rsidP="007B5D2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C206EF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Lunar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, 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1200 lei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autobuz cu capacitatea de </w:t>
            </w:r>
            <w:r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peste 24 de locuri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>.</w:t>
            </w:r>
          </w:p>
        </w:tc>
      </w:tr>
      <w:tr w:rsidR="006376A2" w:rsidRPr="00E70A04" w:rsidTr="009E10C1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j) Taxa pentru parcare.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Suprafața de parcare.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7B5D2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20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m.p.</w:t>
            </w:r>
          </w:p>
        </w:tc>
      </w:tr>
      <w:tr w:rsidR="00402079" w:rsidRPr="00E70A04" w:rsidTr="00402079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p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) Taxa pentru </w:t>
            </w:r>
            <w:r w:rsidRPr="00D12BDB">
              <w:rPr>
                <w:rFonts w:ascii="Times New Roman" w:hAnsi="Times New Roman" w:cs="Times New Roman"/>
                <w:lang w:val="ro-RO"/>
              </w:rPr>
              <w:t>salubrizare</w:t>
            </w:r>
            <w:r w:rsidR="00520073"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821285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Pentru fiecare gospodărie (casă individuală la sol), care nu are încheiat un contract de prestări servicii de salubrizare.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821285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500 lei anual</w:t>
            </w:r>
            <w:r w:rsidR="00D12BDB" w:rsidRPr="00D12BDB">
              <w:rPr>
                <w:rFonts w:ascii="Times New Roman" w:hAnsi="Times New Roman" w:cs="Times New Roman"/>
                <w:lang w:val="ro-RO"/>
              </w:rPr>
              <w:t xml:space="preserve"> pentru fiecare gospodărie.</w:t>
            </w:r>
          </w:p>
        </w:tc>
      </w:tr>
      <w:tr w:rsidR="00402079" w:rsidRPr="00E70A04" w:rsidTr="00402079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q) Taxa pentru dispozitivele publicitare.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Suprafața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feţei (feţelor) dispozitivului publicitar.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7B5D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500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metru pătrat.</w:t>
            </w:r>
          </w:p>
        </w:tc>
      </w:tr>
    </w:tbl>
    <w:p w:rsidR="00402079" w:rsidRDefault="00402079" w:rsidP="007B5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Nu constituie obiect al impunerii dispozitivul publicitar la locul desfăşurării activităţii de întreprinzător care este utilizată pentru afişarea denumirii agentului economic şi a cărui suprafaţă nu depăşeşte 0,5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m²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(art.291 alin. (1) lit. q) al Codului Fiscal).</w:t>
      </w:r>
    </w:p>
    <w:p w:rsidR="00402079" w:rsidRDefault="00402079" w:rsidP="007B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sectPr w:rsidR="00402079" w:rsidSect="00D12B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33"/>
    <w:multiLevelType w:val="hybridMultilevel"/>
    <w:tmpl w:val="A896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7ACD"/>
    <w:multiLevelType w:val="hybridMultilevel"/>
    <w:tmpl w:val="12EEB4E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DC9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AE2D8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62096"/>
    <w:multiLevelType w:val="hybridMultilevel"/>
    <w:tmpl w:val="88BA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5018E"/>
    <w:multiLevelType w:val="multilevel"/>
    <w:tmpl w:val="35543D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0" w:hanging="72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680" w:hanging="180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4">
    <w:nsid w:val="481F0669"/>
    <w:multiLevelType w:val="hybridMultilevel"/>
    <w:tmpl w:val="E0EC5B2A"/>
    <w:lvl w:ilvl="0" w:tplc="39DC060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C544000">
      <w:start w:val="1"/>
      <w:numFmt w:val="lowerRoman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FC53E7"/>
    <w:multiLevelType w:val="hybridMultilevel"/>
    <w:tmpl w:val="904AFB92"/>
    <w:lvl w:ilvl="0" w:tplc="F726FBFC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7A7D0D"/>
    <w:rsid w:val="0006459D"/>
    <w:rsid w:val="00132C9A"/>
    <w:rsid w:val="001A471C"/>
    <w:rsid w:val="00343D14"/>
    <w:rsid w:val="003653FA"/>
    <w:rsid w:val="00373CE8"/>
    <w:rsid w:val="00402079"/>
    <w:rsid w:val="00520073"/>
    <w:rsid w:val="005316E7"/>
    <w:rsid w:val="006376A2"/>
    <w:rsid w:val="007050AB"/>
    <w:rsid w:val="007672A3"/>
    <w:rsid w:val="007A7D0D"/>
    <w:rsid w:val="007B5D29"/>
    <w:rsid w:val="00821285"/>
    <w:rsid w:val="008553B1"/>
    <w:rsid w:val="008A2244"/>
    <w:rsid w:val="00C206EF"/>
    <w:rsid w:val="00CE14AD"/>
    <w:rsid w:val="00D07B44"/>
    <w:rsid w:val="00D12BDB"/>
    <w:rsid w:val="00D91464"/>
    <w:rsid w:val="00DA6AAD"/>
    <w:rsid w:val="00E70A04"/>
    <w:rsid w:val="00FD6ECA"/>
    <w:rsid w:val="00FE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7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2018-11-05T05:52:00Z</cp:lastPrinted>
  <dcterms:created xsi:type="dcterms:W3CDTF">2018-11-05T05:53:00Z</dcterms:created>
  <dcterms:modified xsi:type="dcterms:W3CDTF">2018-11-05T09:48:00Z</dcterms:modified>
</cp:coreProperties>
</file>