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79" w:rsidRDefault="00402079" w:rsidP="00402079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-153670</wp:posOffset>
            </wp:positionV>
            <wp:extent cx="612140" cy="612140"/>
            <wp:effectExtent l="0" t="0" r="0" b="0"/>
            <wp:wrapSquare wrapText="bothSides"/>
            <wp:docPr id="2" name="Рисунок 2" descr="300px-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300px-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5292725</wp:posOffset>
            </wp:positionH>
            <wp:positionV relativeFrom="margin">
              <wp:posOffset>-57150</wp:posOffset>
            </wp:positionV>
            <wp:extent cx="542925" cy="666750"/>
            <wp:effectExtent l="0" t="0" r="9525" b="0"/>
            <wp:wrapSquare wrapText="bothSides"/>
            <wp:docPr id="1" name="Рисунок 1" descr="https://encrypted-tbn0.gstatic.com/images?q=tbn:ANd9GcQGo1RB2PYSIWdcY3pSZmpmydpiGqn3xoKgC2f9x67XFJG6r9INXrsDD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encrypted-tbn0.gstatic.com/images?q=tbn:ANd9GcQGo1RB2PYSIWdcY3pSZmpmydpiGqn3xoKgC2f9x67XFJG6r9INXrsDD1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REPUBLICA MOLDOVA</w:t>
      </w:r>
    </w:p>
    <w:p w:rsidR="00402079" w:rsidRDefault="00402079" w:rsidP="00402079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PRIMĂRIA ORAȘULUI IALOVENI</w:t>
      </w:r>
    </w:p>
    <w:p w:rsidR="00402079" w:rsidRDefault="00402079" w:rsidP="00402079">
      <w:pPr>
        <w:tabs>
          <w:tab w:val="center" w:pos="4860"/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ORĂŞENESC IALOVENI</w:t>
      </w:r>
    </w:p>
    <w:p w:rsidR="00402079" w:rsidRDefault="00402079" w:rsidP="00402079">
      <w:pPr>
        <w:tabs>
          <w:tab w:val="center" w:pos="4860"/>
          <w:tab w:val="left" w:pos="750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402079" w:rsidRDefault="00402079" w:rsidP="00402079">
      <w:pPr>
        <w:shd w:val="clear" w:color="auto" w:fill="00B0F0"/>
        <w:spacing w:after="0" w:line="240" w:lineRule="auto"/>
        <w:rPr>
          <w:rFonts w:ascii="Times New Roman" w:hAnsi="Times New Roman" w:cs="Times New Roman"/>
          <w:b/>
          <w:color w:val="00B0F0"/>
          <w:sz w:val="10"/>
          <w:szCs w:val="10"/>
          <w:u w:val="single"/>
          <w:lang w:val="ro-RO"/>
        </w:rPr>
      </w:pPr>
    </w:p>
    <w:p w:rsidR="00402079" w:rsidRDefault="00402079" w:rsidP="00402079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color w:val="FFFF00"/>
          <w:sz w:val="10"/>
          <w:szCs w:val="10"/>
          <w:lang w:val="ro-RO"/>
        </w:rPr>
      </w:pPr>
    </w:p>
    <w:p w:rsidR="00402079" w:rsidRDefault="00402079" w:rsidP="00402079">
      <w:pPr>
        <w:shd w:val="clear" w:color="auto" w:fill="FF0000"/>
        <w:spacing w:after="0" w:line="240" w:lineRule="auto"/>
        <w:rPr>
          <w:rFonts w:ascii="Times New Roman" w:hAnsi="Times New Roman" w:cs="Times New Roman"/>
          <w:color w:val="00B0F0"/>
          <w:sz w:val="10"/>
          <w:szCs w:val="10"/>
          <w:lang w:val="ro-RO"/>
        </w:rPr>
      </w:pP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02079" w:rsidRDefault="00402079" w:rsidP="004020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 E C I Z I E</w:t>
      </w:r>
    </w:p>
    <w:p w:rsidR="00402079" w:rsidRDefault="00402079" w:rsidP="004020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402079" w:rsidRDefault="00402079" w:rsidP="004020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Nr.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07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o-RO"/>
        </w:rPr>
        <w:t>03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                                                                      din  13  d e c e m b r i e  2017</w:t>
      </w: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privire la aprobarea taxelor locale pentru anul 2018</w:t>
      </w: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402079" w:rsidRDefault="00402079" w:rsidP="0040207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  <w:r>
        <w:rPr>
          <w:rFonts w:ascii="Times New Roman" w:hAnsi="Times New Roman" w:cs="Times New Roman"/>
          <w:sz w:val="27"/>
          <w:szCs w:val="27"/>
          <w:lang w:val="ro-RO"/>
        </w:rPr>
        <w:t xml:space="preserve">În conformitate cu prevederile Codului Fiscal al Republicii Moldova nr. 93-XV din 01 aprilie 2004, Titlul-VII Taxele locale și în temeiul art. 14 alin. (2) lit. a) al Legii nr. 436-XVI din 28 decembrie 2006 privind administrația publică locală, Consiliul </w:t>
      </w:r>
      <w:r w:rsidR="00D07B44">
        <w:rPr>
          <w:rFonts w:ascii="Times New Roman" w:hAnsi="Times New Roman" w:cs="Times New Roman"/>
          <w:sz w:val="27"/>
          <w:szCs w:val="27"/>
          <w:lang w:val="ro-RO"/>
        </w:rPr>
        <w:t>orășenesc</w:t>
      </w:r>
      <w:r>
        <w:rPr>
          <w:rFonts w:ascii="Times New Roman" w:hAnsi="Times New Roman" w:cs="Times New Roman"/>
          <w:sz w:val="27"/>
          <w:szCs w:val="27"/>
          <w:lang w:val="ro-RO"/>
        </w:rPr>
        <w:t xml:space="preserve"> Ialoveni,</w:t>
      </w:r>
    </w:p>
    <w:p w:rsidR="00402079" w:rsidRDefault="00402079" w:rsidP="0040207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DECIDE:</w:t>
      </w: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o-RO"/>
        </w:rPr>
      </w:pPr>
    </w:p>
    <w:p w:rsidR="00402079" w:rsidRDefault="00402079" w:rsidP="0040207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se pun în aplicare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începând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1 ianuarie 2018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 teritoriul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orașului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Ialoveni următoarele taxe locale: </w:t>
      </w:r>
    </w:p>
    <w:p w:rsidR="00402079" w:rsidRDefault="00402079" w:rsidP="0040207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pentru amenajarea teritoriului;</w:t>
      </w:r>
    </w:p>
    <w:p w:rsidR="00402079" w:rsidRDefault="00402079" w:rsidP="0040207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 organizare a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licitațiilor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loteriilor pe teritoriul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orașului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Ialoveni;</w:t>
      </w:r>
    </w:p>
    <w:p w:rsidR="00402079" w:rsidRDefault="00402079" w:rsidP="0040207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de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plasare (amplasare) a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publicității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(reclamei);</w:t>
      </w:r>
    </w:p>
    <w:p w:rsidR="00402079" w:rsidRDefault="00402079" w:rsidP="0040207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de aplicare a simbolicii locale;</w:t>
      </w:r>
    </w:p>
    <w:p w:rsidR="00402079" w:rsidRDefault="00402079" w:rsidP="0040207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pentru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unitățile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comerciale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>/sau de prestări servicii;</w:t>
      </w:r>
    </w:p>
    <w:p w:rsidR="00402079" w:rsidRDefault="00402079" w:rsidP="00402079">
      <w:pPr>
        <w:numPr>
          <w:ilvl w:val="1"/>
          <w:numId w:val="1"/>
        </w:numPr>
        <w:tabs>
          <w:tab w:val="clear" w:pos="1440"/>
          <w:tab w:val="left" w:pos="426"/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de piață;</w:t>
      </w:r>
    </w:p>
    <w:p w:rsidR="00402079" w:rsidRPr="00FD6ECA" w:rsidRDefault="00402079" w:rsidP="00FD6ECA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taxa balneară;</w:t>
      </w:r>
    </w:p>
    <w:p w:rsidR="00402079" w:rsidRPr="00FD6ECA" w:rsidRDefault="00402079" w:rsidP="00FD6ECA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taxa pentru prestarea serviciilor de transport auto de călători pentru rutele orășenești;</w:t>
      </w:r>
    </w:p>
    <w:p w:rsidR="00402079" w:rsidRPr="00FD6ECA" w:rsidRDefault="00402079" w:rsidP="00FD6ECA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taxa pentru parcare;</w:t>
      </w:r>
    </w:p>
    <w:p w:rsidR="001A471C" w:rsidRPr="00402079" w:rsidRDefault="001A471C" w:rsidP="001A471C">
      <w:pPr>
        <w:tabs>
          <w:tab w:val="left" w:pos="426"/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p)   taxa pentru salubrizare;</w:t>
      </w:r>
    </w:p>
    <w:p w:rsidR="00402079" w:rsidRDefault="00402079" w:rsidP="00402079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q)</w:t>
      </w:r>
      <w:r w:rsidRPr="001A47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A471C" w:rsidRPr="001A471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taxa pentru dispozitivele publicitare.</w:t>
      </w:r>
    </w:p>
    <w:p w:rsidR="00402079" w:rsidRPr="00FD6ECA" w:rsidRDefault="00402079" w:rsidP="00FD6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D6ECA">
        <w:rPr>
          <w:rFonts w:ascii="Times New Roman" w:hAnsi="Times New Roman" w:cs="Times New Roman"/>
          <w:sz w:val="28"/>
          <w:szCs w:val="28"/>
          <w:lang w:val="ro-RO"/>
        </w:rPr>
        <w:t>Se stabilesc scutiri integrale de:</w:t>
      </w:r>
    </w:p>
    <w:p w:rsidR="00402079" w:rsidRDefault="00402079" w:rsidP="001A471C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taxa pentru amenajarea teritoriului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fondatorii gospodăriilor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țărănești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(de fermieri) care au atins vârsta de pensionare;</w:t>
      </w:r>
    </w:p>
    <w:p w:rsidR="00402079" w:rsidRDefault="00402079" w:rsidP="00FD6ECA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pentru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unitățile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comerciale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/sau de prestări servicii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persoane care practică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activități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pompe funebre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acordă servicii similare, inclusiv care </w:t>
      </w:r>
      <w:r w:rsidR="001A471C">
        <w:rPr>
          <w:rFonts w:ascii="Times New Roman" w:hAnsi="Times New Roman" w:cs="Times New Roman"/>
          <w:sz w:val="28"/>
          <w:szCs w:val="28"/>
          <w:lang w:val="ro-RO"/>
        </w:rPr>
        <w:t>confecționează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sicrie, coroane, flori false, ghirlande;</w:t>
      </w:r>
    </w:p>
    <w:p w:rsidR="00402079" w:rsidRDefault="00402079" w:rsidP="00FD6ECA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 plasare a </w:t>
      </w:r>
      <w:r w:rsidR="00FD6ECA">
        <w:rPr>
          <w:rFonts w:ascii="Times New Roman" w:hAnsi="Times New Roman" w:cs="Times New Roman"/>
          <w:sz w:val="28"/>
          <w:szCs w:val="28"/>
          <w:lang w:val="ro-RO"/>
        </w:rPr>
        <w:t xml:space="preserve">publicității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FD6E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producătorii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difuzorii de publicitate socială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publicitate plasată pe trimiterile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poştale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02079" w:rsidRDefault="00402079" w:rsidP="00FD6ECA">
      <w:pPr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taxa de organizare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licitaţiilor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loteriilor pe teritoriul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oraşului</w:t>
      </w:r>
      <w:proofErr w:type="spellEnd"/>
      <w:r w:rsidR="00FD6E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FD6EC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organizatorii </w:t>
      </w:r>
      <w:r w:rsidR="00FD6ECA">
        <w:rPr>
          <w:rFonts w:ascii="Times New Roman" w:hAnsi="Times New Roman" w:cs="Times New Roman"/>
          <w:sz w:val="28"/>
          <w:szCs w:val="28"/>
          <w:lang w:val="ro-RO"/>
        </w:rPr>
        <w:t>licitațiilor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desfăşurate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în scopul asigurării rambursării datoriilor la credite, acoperirii pagubelor, achitării datoriilor la buget,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vînzării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patrimoniului de stat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patrimoniului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oraşului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02079" w:rsidRDefault="00FD6ECA" w:rsidP="004020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Subiecți</w:t>
      </w:r>
      <w:r w:rsidR="0040207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ai impunerii sunt persoanele juridice sau fizice, înregistrate în calitate de întreprinzător.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28"/>
        <w:gridCol w:w="3444"/>
      </w:tblGrid>
      <w:tr w:rsidR="00402079" w:rsidRPr="00D12BDB" w:rsidTr="00402079">
        <w:trPr>
          <w:trHeight w:val="1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>Denumirea taxei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Baza impozabilă a  obiectului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Unitatea de măsură a cotei</w:t>
            </w:r>
          </w:p>
        </w:tc>
      </w:tr>
      <w:tr w:rsidR="00402079" w:rsidRPr="00D12BDB" w:rsidTr="00402079">
        <w:trPr>
          <w:trHeight w:val="12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a)Taxa pentru amenajarea teritoriului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Numărul mediu scriptic trimestrial al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salariaţilor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/sau fondatorii întreprinderilor în cazul în care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aceştia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activează în întreprinderile fondate, însă nu sunt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incluşi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în efectivul trimestrial de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salariaţi</w:t>
            </w:r>
            <w:proofErr w:type="spellEnd"/>
            <w:r w:rsidR="00D07B44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FD6EC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salariații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din întreprinderi, altele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decât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cele agricole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fondatorii întreprinderilor –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200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salariat;</w:t>
            </w:r>
          </w:p>
          <w:p w:rsidR="00402079" w:rsidRPr="00D12BDB" w:rsidRDefault="00402079" w:rsidP="006376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pentru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salariații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din sectorul agricol –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100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salariat;</w:t>
            </w:r>
          </w:p>
          <w:p w:rsidR="00402079" w:rsidRPr="00D12BDB" w:rsidRDefault="00402079" w:rsidP="006376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03" w:hanging="284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taxa pentru amenajarea teritoriului pentru fondatorii gospodăriilor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țărănești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(de fermier) –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50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402079" w:rsidRPr="00D12BDB" w:rsidTr="00402079">
        <w:trPr>
          <w:trHeight w:val="10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b) Taxa de organizare a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licitaţiilor</w:t>
            </w:r>
            <w:proofErr w:type="spellEnd"/>
            <w:r w:rsidR="006376A2" w:rsidRPr="00D12BD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6376A2"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6376A2" w:rsidRPr="00D12BDB">
              <w:rPr>
                <w:rFonts w:ascii="Times New Roman" w:hAnsi="Times New Roman" w:cs="Times New Roman"/>
                <w:lang w:val="ro-RO"/>
              </w:rPr>
              <w:t xml:space="preserve"> loteriilor pe teritoriul orașului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Ialoveni.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Venitul din vânzări ale bunurilor declarate la </w:t>
            </w:r>
            <w:r w:rsidR="00D07B44" w:rsidRPr="00D12BDB">
              <w:rPr>
                <w:rFonts w:ascii="Times New Roman" w:hAnsi="Times New Roman" w:cs="Times New Roman"/>
                <w:lang w:val="ro-RO"/>
              </w:rPr>
              <w:t>licitație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sau valoarea biletelor de loterie emise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0,1</w:t>
            </w:r>
            <w:r w:rsidR="006376A2" w:rsidRPr="00D12BDB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%</w:t>
            </w:r>
          </w:p>
        </w:tc>
      </w:tr>
      <w:tr w:rsidR="00402079" w:rsidRPr="00D12BDB" w:rsidTr="00402079">
        <w:trPr>
          <w:trHeight w:val="212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c) Taxa de amplasare a publicității (reclamei)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,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cu excepția celei amplasate integral în zona de protecție a drumurilor din afara perimetrului localității.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Venitul din v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ânzările serviciilor de plasare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/sau difuzare a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anunţurilor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publicitare prin intermediul serviciilor cinematografice, video, prin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reţelele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telefonice, telegrafice, telex prin mijloacele de transport, prin alte mijloace (cu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excepţia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TV, internetului, radioului, presei periodice, tipăriturilor), cu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excepţia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amplasării </w:t>
            </w:r>
            <w:r w:rsidR="006376A2" w:rsidRPr="00D12BDB">
              <w:rPr>
                <w:rFonts w:ascii="Times New Roman" w:hAnsi="Times New Roman" w:cs="Times New Roman"/>
                <w:lang w:val="ro-RO"/>
              </w:rPr>
              <w:t>publicității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exterioare.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5 %</w:t>
            </w:r>
          </w:p>
        </w:tc>
      </w:tr>
      <w:tr w:rsidR="00402079" w:rsidRPr="00D12BDB" w:rsidTr="00402079">
        <w:trPr>
          <w:trHeight w:val="6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d) Taxa de aplicare a simbolicii locale.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Venitul din vânzări ale produselor fabricate cărora i se aplică simbolica locală.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0,1%</w:t>
            </w:r>
          </w:p>
        </w:tc>
      </w:tr>
      <w:tr w:rsidR="00402079" w:rsidRPr="00D12BDB" w:rsidTr="00402079">
        <w:trPr>
          <w:trHeight w:val="12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e) Taxa pentru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unităţile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comerciale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>/sau de prestări servicii.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ocupată de </w:t>
            </w:r>
            <w:proofErr w:type="spellStart"/>
            <w:r w:rsidR="00402079" w:rsidRPr="00D12BDB">
              <w:rPr>
                <w:rFonts w:ascii="Times New Roman" w:hAnsi="Times New Roman" w:cs="Times New Roman"/>
                <w:lang w:val="ro-RO"/>
              </w:rPr>
              <w:t>unităţile</w:t>
            </w:r>
            <w:proofErr w:type="spellEnd"/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="00402079" w:rsidRPr="00D12BDB">
              <w:rPr>
                <w:rFonts w:ascii="Times New Roman" w:hAnsi="Times New Roman" w:cs="Times New Roman"/>
                <w:lang w:val="ro-RO"/>
              </w:rPr>
              <w:t>comerţ</w:t>
            </w:r>
            <w:proofErr w:type="spellEnd"/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402079"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/sau de prestări servicii de deservire socială, amplasarea lor, tipul mărfurilor desfăcute </w:t>
            </w:r>
            <w:proofErr w:type="spellStart"/>
            <w:r w:rsidR="00402079"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serviciilor prestate.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până la 100000 lei pentru fiecare unitate de </w:t>
            </w:r>
            <w:r w:rsidR="006376A2" w:rsidRPr="00D12BDB">
              <w:rPr>
                <w:rFonts w:ascii="Times New Roman" w:hAnsi="Times New Roman" w:cs="Times New Roman"/>
                <w:bCs/>
                <w:iCs/>
                <w:lang w:val="ro-RO"/>
              </w:rPr>
              <w:t>comerț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</w:t>
            </w:r>
            <w:proofErr w:type="spellStart"/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/sau de prestări servicii de deservire socială. </w:t>
            </w:r>
          </w:p>
        </w:tc>
      </w:tr>
      <w:tr w:rsidR="006376A2" w:rsidRPr="00D12BDB" w:rsidTr="009E10C1">
        <w:trPr>
          <w:trHeight w:val="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9E10C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f) Taxa de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piaţă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9E10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Suprafața totală a terenului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a imobilelor amplasate pe teritoriul pieței.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9E10C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1 leu anual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metru pătrat.</w:t>
            </w:r>
          </w:p>
        </w:tc>
      </w:tr>
      <w:tr w:rsidR="00402079" w:rsidRPr="00D12BDB" w:rsidTr="00402079">
        <w:trPr>
          <w:trHeight w:val="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f) Taxa balneară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Venitul din vînzări ale biletelor de odihnă </w:t>
            </w:r>
            <w:proofErr w:type="spellStart"/>
            <w:r w:rsidRPr="00D12BD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şi</w:t>
            </w:r>
            <w:proofErr w:type="spellEnd"/>
            <w:r w:rsidRPr="00D12BD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tratament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0,1%</w:t>
            </w:r>
          </w:p>
        </w:tc>
      </w:tr>
      <w:tr w:rsidR="00402079" w:rsidRPr="00D12BDB" w:rsidTr="00402079">
        <w:trPr>
          <w:trHeight w:val="14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i) Taxa pentru prestarea serviciilor de transport auto de călători pentru rutele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orăşeneşti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 xml:space="preserve">Numărul de </w:t>
            </w:r>
            <w:proofErr w:type="spellStart"/>
            <w:r w:rsidRPr="00D12BDB">
              <w:rPr>
                <w:rFonts w:ascii="Times New Roman" w:hAnsi="Times New Roman" w:cs="Times New Roman"/>
                <w:lang w:val="ro-RO"/>
              </w:rPr>
              <w:t>unităţi</w:t>
            </w:r>
            <w:proofErr w:type="spellEnd"/>
            <w:r w:rsidRPr="00D12BDB">
              <w:rPr>
                <w:rFonts w:ascii="Times New Roman" w:hAnsi="Times New Roman" w:cs="Times New Roman"/>
                <w:lang w:val="ro-RO"/>
              </w:rPr>
              <w:t xml:space="preserve"> de transport.</w:t>
            </w: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  <w:p w:rsidR="00402079" w:rsidRPr="00D12BDB" w:rsidRDefault="0040207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6376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Lunar, câte </w:t>
            </w:r>
            <w:r w:rsidR="006376A2"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200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 xml:space="preserve"> lei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autoturism cu capacitatea de până la </w:t>
            </w:r>
            <w:r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8 locuri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inclusiv.</w:t>
            </w:r>
          </w:p>
          <w:p w:rsidR="00402079" w:rsidRPr="00D12BDB" w:rsidRDefault="00402079" w:rsidP="006376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Lunar 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700 lei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autovehicul cu capacitatea </w:t>
            </w:r>
            <w:r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de la 9 până la 16 locuri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inclusiv.</w:t>
            </w:r>
          </w:p>
          <w:p w:rsidR="006376A2" w:rsidRPr="00D12BDB" w:rsidRDefault="006376A2" w:rsidP="006376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Lunar, 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1050</w:t>
            </w:r>
            <w:r w:rsidR="00402079"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 xml:space="preserve"> lei</w:t>
            </w:r>
            <w:r w:rsidR="00402079"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autobuz cu capacitatea </w:t>
            </w:r>
            <w:r w:rsidR="00402079"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de la 17 până la 24 de locuri</w:t>
            </w:r>
            <w:r w:rsidR="00402079"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inclusiv.</w:t>
            </w:r>
          </w:p>
          <w:p w:rsidR="00402079" w:rsidRPr="00D12BDB" w:rsidRDefault="00402079" w:rsidP="006376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1" w:hanging="142"/>
              <w:jc w:val="both"/>
              <w:rPr>
                <w:rFonts w:ascii="Times New Roman" w:hAnsi="Times New Roman" w:cs="Times New Roman"/>
                <w:bCs/>
                <w:iCs/>
                <w:lang w:val="ro-RO"/>
              </w:rPr>
            </w:pP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Lunar, </w:t>
            </w:r>
            <w:r w:rsidRPr="00D12BDB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1200 lei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 xml:space="preserve"> pentru fiecare autobuz cu capacitatea de </w:t>
            </w:r>
            <w:r w:rsidRPr="00D12BDB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peste 24 de locuri</w:t>
            </w:r>
            <w:r w:rsidRPr="00D12BDB">
              <w:rPr>
                <w:rFonts w:ascii="Times New Roman" w:hAnsi="Times New Roman" w:cs="Times New Roman"/>
                <w:bCs/>
                <w:iCs/>
                <w:lang w:val="ro-RO"/>
              </w:rPr>
              <w:t>.</w:t>
            </w:r>
          </w:p>
        </w:tc>
      </w:tr>
      <w:tr w:rsidR="006376A2" w:rsidRPr="00D12BDB" w:rsidTr="009E10C1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9E10C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j) Taxa pentru parcare.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9E10C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 de parcare.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A2" w:rsidRPr="00D12BDB" w:rsidRDefault="006376A2" w:rsidP="009E10C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20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m.p.</w:t>
            </w:r>
          </w:p>
        </w:tc>
      </w:tr>
      <w:tr w:rsidR="00402079" w:rsidRPr="00D12BDB" w:rsidTr="00402079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6376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p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) Taxa pentru </w:t>
            </w:r>
            <w:r w:rsidRPr="00D12BDB">
              <w:rPr>
                <w:rFonts w:ascii="Times New Roman" w:hAnsi="Times New Roman" w:cs="Times New Roman"/>
                <w:lang w:val="ro-RO"/>
              </w:rPr>
              <w:t>salubrizare</w:t>
            </w:r>
            <w:r w:rsidR="00520073" w:rsidRPr="00D12BDB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821285" w:rsidP="00D12B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Pentru fiecare gospodărie (casă individuală la sol), care nu are încheiat un contract de prestări servicii de salubrizare.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821285" w:rsidP="00D12B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500 lei anual</w:t>
            </w:r>
            <w:r w:rsidR="00D12BDB" w:rsidRPr="00D12BDB">
              <w:rPr>
                <w:rFonts w:ascii="Times New Roman" w:hAnsi="Times New Roman" w:cs="Times New Roman"/>
                <w:lang w:val="ro-RO"/>
              </w:rPr>
              <w:t xml:space="preserve"> pentru fiecare gospodărie.</w:t>
            </w:r>
          </w:p>
        </w:tc>
      </w:tr>
      <w:tr w:rsidR="00402079" w:rsidRPr="00D12BDB" w:rsidTr="00402079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D12B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q) Taxa pentru dispozitivele publicitare.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6376A2" w:rsidP="00D12B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lang w:val="ro-RO"/>
              </w:rPr>
              <w:t>Suprafața</w:t>
            </w:r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402079" w:rsidRPr="00D12BDB">
              <w:rPr>
                <w:rFonts w:ascii="Times New Roman" w:hAnsi="Times New Roman" w:cs="Times New Roman"/>
                <w:lang w:val="ro-RO"/>
              </w:rPr>
              <w:t>feţei</w:t>
            </w:r>
            <w:proofErr w:type="spellEnd"/>
            <w:r w:rsidR="00402079" w:rsidRPr="00D12BDB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="00402079" w:rsidRPr="00D12BDB">
              <w:rPr>
                <w:rFonts w:ascii="Times New Roman" w:hAnsi="Times New Roman" w:cs="Times New Roman"/>
                <w:lang w:val="ro-RO"/>
              </w:rPr>
              <w:t>feţelor</w:t>
            </w:r>
            <w:proofErr w:type="spellEnd"/>
            <w:r w:rsidR="00402079" w:rsidRPr="00D12BDB">
              <w:rPr>
                <w:rFonts w:ascii="Times New Roman" w:hAnsi="Times New Roman" w:cs="Times New Roman"/>
                <w:lang w:val="ro-RO"/>
              </w:rPr>
              <w:t>) dispozitivului publicitar.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79" w:rsidRPr="00D12BDB" w:rsidRDefault="00402079" w:rsidP="00D12B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D12BDB">
              <w:rPr>
                <w:rFonts w:ascii="Times New Roman" w:hAnsi="Times New Roman" w:cs="Times New Roman"/>
                <w:b/>
                <w:i/>
                <w:lang w:val="ro-RO"/>
              </w:rPr>
              <w:t>500 lei anual</w:t>
            </w:r>
            <w:r w:rsidRPr="00D12BDB">
              <w:rPr>
                <w:rFonts w:ascii="Times New Roman" w:hAnsi="Times New Roman" w:cs="Times New Roman"/>
                <w:lang w:val="ro-RO"/>
              </w:rPr>
              <w:t xml:space="preserve"> pentru fiecare metru pătrat.</w:t>
            </w:r>
          </w:p>
        </w:tc>
      </w:tr>
    </w:tbl>
    <w:p w:rsidR="00402079" w:rsidRDefault="00402079" w:rsidP="0040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Nu constituie obiect al impunerii dispozitivul publicitar la locul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desfăşurării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activităţii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 întreprinzător care este utilizată pentru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afişarea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denumirii agentului economic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 cărui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suprafaţă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nu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depăşeşte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0,5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m²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(art.291 alin. (1) lit. q) al Codului Fiscal).</w:t>
      </w:r>
    </w:p>
    <w:p w:rsidR="00402079" w:rsidRDefault="00402079" w:rsidP="0040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02079" w:rsidRPr="00D12BDB" w:rsidRDefault="00402079" w:rsidP="00D12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Prezenta decizie intră în vigoare la data de </w:t>
      </w:r>
      <w:r w:rsidRPr="00D12BDB">
        <w:rPr>
          <w:rFonts w:ascii="Times New Roman" w:hAnsi="Times New Roman" w:cs="Times New Roman"/>
          <w:b/>
          <w:i/>
          <w:sz w:val="28"/>
          <w:szCs w:val="28"/>
          <w:lang w:val="ro-RO"/>
        </w:rPr>
        <w:t>01 ianuarie 2018</w:t>
      </w:r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12BDB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urmează a fi adusă la </w:t>
      </w:r>
      <w:proofErr w:type="spellStart"/>
      <w:r w:rsidRPr="00D12BDB">
        <w:rPr>
          <w:rFonts w:ascii="Times New Roman" w:hAnsi="Times New Roman" w:cs="Times New Roman"/>
          <w:sz w:val="28"/>
          <w:szCs w:val="28"/>
          <w:lang w:val="ro-RO"/>
        </w:rPr>
        <w:t>cunoştinţa</w:t>
      </w:r>
      <w:proofErr w:type="spellEnd"/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12BDB">
        <w:rPr>
          <w:rFonts w:ascii="Times New Roman" w:hAnsi="Times New Roman" w:cs="Times New Roman"/>
          <w:sz w:val="28"/>
          <w:szCs w:val="28"/>
          <w:lang w:val="ro-RO"/>
        </w:rPr>
        <w:t>Direcţiei</w:t>
      </w:r>
      <w:proofErr w:type="spellEnd"/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generale </w:t>
      </w:r>
      <w:proofErr w:type="spellStart"/>
      <w:r w:rsidRPr="00D12BDB">
        <w:rPr>
          <w:rFonts w:ascii="Times New Roman" w:hAnsi="Times New Roman" w:cs="Times New Roman"/>
          <w:sz w:val="28"/>
          <w:szCs w:val="28"/>
          <w:lang w:val="ro-RO"/>
        </w:rPr>
        <w:t>finanţe</w:t>
      </w:r>
      <w:proofErr w:type="spellEnd"/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a Consiliului Raional Ialoveni, Inspectoratului Fiscal de Stat pe raionul Ialoveni </w:t>
      </w:r>
      <w:proofErr w:type="spellStart"/>
      <w:r w:rsidRPr="00D12BDB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contribuabililor </w:t>
      </w:r>
      <w:r w:rsidRPr="00D12BDB">
        <w:rPr>
          <w:rFonts w:ascii="Times New Roman" w:hAnsi="Times New Roman" w:cs="Times New Roman"/>
          <w:b/>
          <w:i/>
          <w:sz w:val="28"/>
          <w:szCs w:val="28"/>
          <w:lang w:val="ro-RO"/>
        </w:rPr>
        <w:t>(prin afișare și site ialoveni.md)</w:t>
      </w:r>
      <w:r w:rsidRPr="00D12BDB">
        <w:rPr>
          <w:rFonts w:ascii="Times New Roman" w:hAnsi="Times New Roman" w:cs="Times New Roman"/>
          <w:sz w:val="28"/>
          <w:szCs w:val="28"/>
          <w:lang w:val="ro-RO"/>
        </w:rPr>
        <w:t xml:space="preserve"> în termen de 10 zile din momentul adoptării.</w:t>
      </w:r>
    </w:p>
    <w:p w:rsidR="00402079" w:rsidRDefault="00402079" w:rsidP="00402079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02079" w:rsidRDefault="00402079" w:rsidP="00D12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Taxele locale se aplică, se modifică ori se anulează de către Consiliul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concomitent cu adoptare</w:t>
      </w:r>
      <w:r w:rsidR="00D12BDB">
        <w:rPr>
          <w:rFonts w:ascii="Times New Roman" w:hAnsi="Times New Roman" w:cs="Times New Roman"/>
          <w:sz w:val="28"/>
          <w:szCs w:val="28"/>
          <w:lang w:val="ro-RO"/>
        </w:rPr>
        <w:t>a sau modificarea bugetului oraș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ului. </w:t>
      </w:r>
    </w:p>
    <w:p w:rsidR="00402079" w:rsidRDefault="00402079" w:rsidP="0040207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02079" w:rsidRDefault="00402079" w:rsidP="00D12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Termenul de achitare, prezentarea dărilor de seam</w:t>
      </w:r>
      <w:r w:rsidR="00D12BDB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proofErr w:type="spellStart"/>
      <w:r w:rsidR="00D12BDB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12BDB">
        <w:rPr>
          <w:rFonts w:ascii="Times New Roman" w:hAnsi="Times New Roman" w:cs="Times New Roman"/>
          <w:sz w:val="28"/>
          <w:szCs w:val="28"/>
          <w:lang w:val="ro-RO"/>
        </w:rPr>
        <w:t xml:space="preserve"> modul de plată a taxe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lor locale se efectuează conform prevederilor Titlului </w:t>
      </w:r>
      <w:r w:rsidR="00D12BDB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o-RO"/>
        </w:rPr>
        <w:t>VII din Codul fiscal.</w:t>
      </w:r>
    </w:p>
    <w:p w:rsidR="00402079" w:rsidRDefault="00402079" w:rsidP="0040207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402079" w:rsidRDefault="00D12BDB" w:rsidP="00D12B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Controlul as</w:t>
      </w:r>
      <w:r w:rsidR="00402079">
        <w:rPr>
          <w:rFonts w:ascii="Times New Roman" w:hAnsi="Times New Roman" w:cs="Times New Roman"/>
          <w:sz w:val="28"/>
          <w:szCs w:val="28"/>
          <w:lang w:val="ro-RO"/>
        </w:rPr>
        <w:t>upra executării prezentei decizii se pune în sarcina dnei Galina Savin, contabil-</w:t>
      </w:r>
      <w:proofErr w:type="spellStart"/>
      <w:r w:rsidR="00402079">
        <w:rPr>
          <w:rFonts w:ascii="Times New Roman" w:hAnsi="Times New Roman" w:cs="Times New Roman"/>
          <w:sz w:val="28"/>
          <w:szCs w:val="28"/>
          <w:lang w:val="ro-RO"/>
        </w:rPr>
        <w:t>şef</w:t>
      </w:r>
      <w:proofErr w:type="spellEnd"/>
      <w:r w:rsidR="0040207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402079" w:rsidRDefault="00402079" w:rsidP="00402079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402079" w:rsidRDefault="00402079" w:rsidP="00402079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402079" w:rsidRDefault="00402079" w:rsidP="00402079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402079" w:rsidRDefault="00402079" w:rsidP="00402079">
      <w:pPr>
        <w:tabs>
          <w:tab w:val="left" w:pos="667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Preşedintele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şedinţei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</w:t>
      </w:r>
      <w:r w:rsidR="00D12B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</w:t>
      </w:r>
      <w:r w:rsidR="00D12B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Victor </w:t>
      </w:r>
      <w:proofErr w:type="spellStart"/>
      <w:r w:rsidR="00D12BDB">
        <w:rPr>
          <w:rFonts w:ascii="Times New Roman" w:hAnsi="Times New Roman" w:cs="Times New Roman"/>
          <w:b/>
          <w:i/>
          <w:sz w:val="28"/>
          <w:szCs w:val="28"/>
          <w:lang w:val="ro-RO"/>
        </w:rPr>
        <w:t>Gonța</w:t>
      </w:r>
      <w:proofErr w:type="spellEnd"/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402079" w:rsidRDefault="00402079" w:rsidP="004020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Contrasemnat:</w:t>
      </w:r>
    </w:p>
    <w:p w:rsidR="00D91464" w:rsidRPr="007672A3" w:rsidRDefault="00402079" w:rsidP="007672A3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Secretarul Consiliului orășenesc              </w:t>
      </w:r>
      <w:r w:rsidR="00D12BD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Lilia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Mîța</w:t>
      </w:r>
      <w:proofErr w:type="spellEnd"/>
    </w:p>
    <w:sectPr w:rsidR="00D91464" w:rsidRPr="007672A3" w:rsidSect="00D12B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33"/>
    <w:multiLevelType w:val="hybridMultilevel"/>
    <w:tmpl w:val="A896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ACD"/>
    <w:multiLevelType w:val="hybridMultilevel"/>
    <w:tmpl w:val="12EEB4E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DC9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AE2D8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A62096"/>
    <w:multiLevelType w:val="hybridMultilevel"/>
    <w:tmpl w:val="88BA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5018E"/>
    <w:multiLevelType w:val="multilevel"/>
    <w:tmpl w:val="35543DE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0" w:hanging="72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7020" w:hanging="1080"/>
      </w:pPr>
    </w:lvl>
    <w:lvl w:ilvl="4">
      <w:start w:val="1"/>
      <w:numFmt w:val="decimal"/>
      <w:lvlText w:val="%1.%2.%3.%4.%5."/>
      <w:lvlJc w:val="left"/>
      <w:pPr>
        <w:ind w:left="9000" w:hanging="1080"/>
      </w:pPr>
    </w:lvl>
    <w:lvl w:ilvl="5">
      <w:start w:val="1"/>
      <w:numFmt w:val="decimal"/>
      <w:lvlText w:val="%1.%2.%3.%4.%5.%6."/>
      <w:lvlJc w:val="left"/>
      <w:pPr>
        <w:ind w:left="11340" w:hanging="1440"/>
      </w:pPr>
    </w:lvl>
    <w:lvl w:ilvl="6">
      <w:start w:val="1"/>
      <w:numFmt w:val="decimal"/>
      <w:lvlText w:val="%1.%2.%3.%4.%5.%6.%7."/>
      <w:lvlJc w:val="left"/>
      <w:pPr>
        <w:ind w:left="13680" w:hanging="1800"/>
      </w:pPr>
    </w:lvl>
    <w:lvl w:ilvl="7">
      <w:start w:val="1"/>
      <w:numFmt w:val="decimal"/>
      <w:lvlText w:val="%1.%2.%3.%4.%5.%6.%7.%8."/>
      <w:lvlJc w:val="left"/>
      <w:pPr>
        <w:ind w:left="15660" w:hanging="1800"/>
      </w:pPr>
    </w:lvl>
    <w:lvl w:ilvl="8">
      <w:start w:val="1"/>
      <w:numFmt w:val="decimal"/>
      <w:lvlText w:val="%1.%2.%3.%4.%5.%6.%7.%8.%9."/>
      <w:lvlJc w:val="left"/>
      <w:pPr>
        <w:ind w:left="18000" w:hanging="2160"/>
      </w:pPr>
    </w:lvl>
  </w:abstractNum>
  <w:abstractNum w:abstractNumId="4" w15:restartNumberingAfterBreak="0">
    <w:nsid w:val="481F0669"/>
    <w:multiLevelType w:val="hybridMultilevel"/>
    <w:tmpl w:val="E0EC5B2A"/>
    <w:lvl w:ilvl="0" w:tplc="39DC060E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C544000">
      <w:start w:val="1"/>
      <w:numFmt w:val="lowerRoman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C53E7"/>
    <w:multiLevelType w:val="hybridMultilevel"/>
    <w:tmpl w:val="904AFB92"/>
    <w:lvl w:ilvl="0" w:tplc="F726FBFC">
      <w:start w:val="10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D"/>
    <w:rsid w:val="001A471C"/>
    <w:rsid w:val="00402079"/>
    <w:rsid w:val="00520073"/>
    <w:rsid w:val="006376A2"/>
    <w:rsid w:val="007672A3"/>
    <w:rsid w:val="007A7D0D"/>
    <w:rsid w:val="00821285"/>
    <w:rsid w:val="00CE14AD"/>
    <w:rsid w:val="00D07B44"/>
    <w:rsid w:val="00D12BDB"/>
    <w:rsid w:val="00D91464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DC04-D720-43BE-8073-3F37B63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7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28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2017-12-19T09:00:00Z</cp:lastPrinted>
  <dcterms:created xsi:type="dcterms:W3CDTF">2017-12-19T09:09:00Z</dcterms:created>
  <dcterms:modified xsi:type="dcterms:W3CDTF">2017-12-19T09:09:00Z</dcterms:modified>
</cp:coreProperties>
</file>