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8F" w:rsidRPr="00247501" w:rsidRDefault="00A50F8F" w:rsidP="00A50F8F">
      <w:pPr>
        <w:tabs>
          <w:tab w:val="center" w:pos="4860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4E67E384" wp14:editId="029027B5">
            <wp:simplePos x="0" y="0"/>
            <wp:positionH relativeFrom="margin">
              <wp:posOffset>5292725</wp:posOffset>
            </wp:positionH>
            <wp:positionV relativeFrom="margin">
              <wp:posOffset>-57150</wp:posOffset>
            </wp:positionV>
            <wp:extent cx="542925" cy="666750"/>
            <wp:effectExtent l="0" t="0" r="9525" b="0"/>
            <wp:wrapSquare wrapText="bothSides"/>
            <wp:docPr id="8" name="Рисунок 8" descr="https://encrypted-tbn0.gstatic.com/images?q=tbn:ANd9GcQGo1RB2PYSIWdcY3pSZmpmydpiGqn3xoKgC2f9x67XFJG6r9INXrsDD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ncrypted-tbn0.gstatic.com/images?q=tbn:ANd9GcQGo1RB2PYSIWdcY3pSZmpmydpiGqn3xoKgC2f9x67XFJG6r9INXrsDD1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501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F4FFBAE" wp14:editId="6A773381">
            <wp:simplePos x="0" y="0"/>
            <wp:positionH relativeFrom="margin">
              <wp:align>inside</wp:align>
            </wp:positionH>
            <wp:positionV relativeFrom="margin">
              <wp:align>top</wp:align>
            </wp:positionV>
            <wp:extent cx="612140" cy="612140"/>
            <wp:effectExtent l="0" t="0" r="0" b="0"/>
            <wp:wrapSquare wrapText="bothSides"/>
            <wp:docPr id="7" name="Рисунок 7" descr="300px-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0px-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501">
        <w:rPr>
          <w:rFonts w:ascii="Times New Roman" w:hAnsi="Times New Roman" w:cs="Times New Roman"/>
          <w:b/>
          <w:bCs/>
          <w:sz w:val="28"/>
          <w:szCs w:val="28"/>
          <w:lang w:val="ro-RO"/>
        </w:rPr>
        <w:t>REPUBLICA MOLDOVA</w:t>
      </w:r>
    </w:p>
    <w:p w:rsidR="00A50F8F" w:rsidRPr="00247501" w:rsidRDefault="00A50F8F" w:rsidP="00A50F8F">
      <w:pPr>
        <w:tabs>
          <w:tab w:val="center" w:pos="4860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ORAȘULUI IALOVENI</w:t>
      </w:r>
    </w:p>
    <w:p w:rsidR="00A50F8F" w:rsidRPr="00247501" w:rsidRDefault="00A50F8F" w:rsidP="00A50F8F">
      <w:pPr>
        <w:tabs>
          <w:tab w:val="center" w:pos="4860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 ORĂŞENESC IALOVENI</w:t>
      </w:r>
    </w:p>
    <w:p w:rsidR="00A50F8F" w:rsidRPr="00247501" w:rsidRDefault="00A50F8F" w:rsidP="00A50F8F">
      <w:pPr>
        <w:tabs>
          <w:tab w:val="center" w:pos="4860"/>
          <w:tab w:val="left" w:pos="750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o-RO"/>
        </w:rPr>
      </w:pPr>
    </w:p>
    <w:p w:rsidR="00A50F8F" w:rsidRPr="00247501" w:rsidRDefault="00A50F8F" w:rsidP="00A50F8F">
      <w:pPr>
        <w:shd w:val="clear" w:color="auto" w:fill="00B0F0"/>
        <w:spacing w:after="0" w:line="240" w:lineRule="auto"/>
        <w:rPr>
          <w:rFonts w:ascii="Times New Roman" w:hAnsi="Times New Roman" w:cs="Times New Roman"/>
          <w:b/>
          <w:color w:val="00B0F0"/>
          <w:sz w:val="10"/>
          <w:szCs w:val="10"/>
          <w:u w:val="single"/>
          <w:lang w:val="ro-RO"/>
        </w:rPr>
      </w:pPr>
    </w:p>
    <w:p w:rsidR="00A50F8F" w:rsidRPr="00247501" w:rsidRDefault="00A50F8F" w:rsidP="00A50F8F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  <w:color w:val="FFFF00"/>
          <w:sz w:val="10"/>
          <w:szCs w:val="10"/>
          <w:lang w:val="ro-RO"/>
        </w:rPr>
      </w:pPr>
    </w:p>
    <w:p w:rsidR="00A50F8F" w:rsidRPr="00247501" w:rsidRDefault="00A50F8F" w:rsidP="00A50F8F">
      <w:pPr>
        <w:shd w:val="clear" w:color="auto" w:fill="FF0000"/>
        <w:spacing w:after="0" w:line="240" w:lineRule="auto"/>
        <w:rPr>
          <w:rFonts w:ascii="Times New Roman" w:hAnsi="Times New Roman" w:cs="Times New Roman"/>
          <w:color w:val="00B0F0"/>
          <w:sz w:val="10"/>
          <w:szCs w:val="10"/>
          <w:lang w:val="ro-RO"/>
        </w:rPr>
      </w:pPr>
    </w:p>
    <w:p w:rsidR="00A50F8F" w:rsidRPr="00247501" w:rsidRDefault="00A50F8F" w:rsidP="00A5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D E C I Z I E</w:t>
      </w:r>
    </w:p>
    <w:p w:rsidR="00A50F8F" w:rsidRPr="00247501" w:rsidRDefault="00A50F8F" w:rsidP="00A50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i/>
          <w:sz w:val="28"/>
          <w:szCs w:val="28"/>
          <w:lang w:val="ro-RO"/>
        </w:rPr>
        <w:t xml:space="preserve">Nr. </w:t>
      </w:r>
      <w:r w:rsidRPr="0024750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07</w:t>
      </w:r>
      <w:r w:rsidRPr="00247501">
        <w:rPr>
          <w:rFonts w:ascii="Times New Roman" w:hAnsi="Times New Roman" w:cs="Times New Roman"/>
          <w:i/>
          <w:sz w:val="28"/>
          <w:szCs w:val="28"/>
          <w:lang w:val="ro-RO"/>
        </w:rPr>
        <w:t>/</w:t>
      </w:r>
      <w:r w:rsidRPr="0024750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04</w:t>
      </w:r>
      <w:r w:rsidRPr="00247501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                                                           din  13  d e c e m b r i e  2017</w:t>
      </w: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aprobarea taxei pentru unitățile comerciale </w:t>
      </w: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și/sau de prestări servicii pentru anul 2018</w:t>
      </w: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În conformitate cu prevederile Titlului – VII a Codului Fiscal al Republicii Moldova nr. 93 – XV din 01 aprilie 2004, art. 4 alin. (1) al Legii nr. 435 – XVI din 28 decembrie 2006 privind descentralizarea administrativă, prevederile art. 5 al Legii nr. 397 – XV din 16 octombrie 2003 privind finanțele publice locale și având în vedere avizul pozitiv al comisiei de specialitate, în te</w:t>
      </w:r>
      <w:r>
        <w:rPr>
          <w:rFonts w:ascii="Times New Roman" w:hAnsi="Times New Roman" w:cs="Times New Roman"/>
          <w:sz w:val="28"/>
          <w:szCs w:val="28"/>
          <w:lang w:val="ro-RO"/>
        </w:rPr>
        <w:t>meiul art. 14 alin. (2), lit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a) al Legii nr. 436 – XVI din 28 decembrie 2006 privind administrația publică locală, Consiliul orășenesc Ialoveni,</w:t>
      </w:r>
    </w:p>
    <w:p w:rsidR="00A50F8F" w:rsidRPr="00247501" w:rsidRDefault="00A50F8F" w:rsidP="00A50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0F8F" w:rsidRDefault="00A50F8F" w:rsidP="00A50F8F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D E C I D E:</w:t>
      </w:r>
    </w:p>
    <w:p w:rsidR="00517451" w:rsidRPr="00247501" w:rsidRDefault="00517451" w:rsidP="00A50F8F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50F8F" w:rsidRPr="00247501" w:rsidRDefault="00A50F8F" w:rsidP="00A50F8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Se aprobă taxa pentru unitățile comerciale </w:t>
      </w:r>
      <w:r w:rsidR="0016051F" w:rsidRPr="00247501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/sau de prestări servicii pe teritoriul orașului Ialoveni,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pentru anul 2018 după cum urmează: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Restaurante cu terasă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20000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Bar, cafenea cu terasă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8000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Bufet, bodegă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5000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Ospătărie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Fast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051F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Food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2500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Gherete: 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amplasate pe teritoriul orașului Ialoveni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4500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locuri amenajate pentru comercializarea ziarelor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revistelor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1000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specializate în comercializarea produselor de tutungerie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10000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tone</w:t>
      </w:r>
      <w:r>
        <w:rPr>
          <w:rFonts w:ascii="Times New Roman" w:hAnsi="Times New Roman" w:cs="Times New Roman"/>
          <w:sz w:val="28"/>
          <w:szCs w:val="28"/>
          <w:lang w:val="ro-RO"/>
        </w:rPr>
        <w:t>te amplasate pe teritoriul piețe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Agro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Industriale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500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tonete cu comercializarea florilor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4500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00"/>
          <w:tab w:val="left" w:pos="993"/>
          <w:tab w:val="left" w:pos="1245"/>
        </w:tabs>
        <w:spacing w:after="0" w:line="240" w:lineRule="auto"/>
        <w:ind w:hanging="3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Terasa de vară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4000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00"/>
          <w:tab w:val="left" w:pos="993"/>
          <w:tab w:val="left" w:pos="1245"/>
        </w:tabs>
        <w:spacing w:after="0" w:line="240" w:lineRule="auto"/>
        <w:ind w:hanging="3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Magazin de tip ”Optică”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00"/>
          <w:tab w:val="left" w:pos="993"/>
          <w:tab w:val="left" w:pos="1245"/>
        </w:tabs>
        <w:spacing w:after="0" w:line="240" w:lineRule="auto"/>
        <w:ind w:hanging="3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Farmacie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25000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00"/>
          <w:tab w:val="left" w:pos="993"/>
          <w:tab w:val="left" w:pos="1245"/>
        </w:tabs>
        <w:spacing w:after="0" w:line="240" w:lineRule="auto"/>
        <w:ind w:hanging="3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Farmacie veterinară                                                                   </w:t>
      </w:r>
      <w:r w:rsidR="0016051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3500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00"/>
          <w:tab w:val="left" w:pos="993"/>
          <w:tab w:val="left" w:pos="1245"/>
        </w:tabs>
        <w:spacing w:after="0" w:line="240" w:lineRule="auto"/>
        <w:ind w:hanging="3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Obiecte de comerț pentru realizare (cu excepția celor care </w:t>
      </w:r>
    </w:p>
    <w:p w:rsidR="00A50F8F" w:rsidRPr="00247501" w:rsidRDefault="00A50F8F" w:rsidP="00A50F8F">
      <w:pPr>
        <w:tabs>
          <w:tab w:val="left" w:pos="993"/>
          <w:tab w:val="left" w:pos="1245"/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    se află total în zona de protecție a drumurilor): 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993"/>
          <w:tab w:val="left" w:pos="1245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produselor petroliere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a gazelor lichefiate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30000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993"/>
          <w:tab w:val="left" w:pos="1245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produselor petroliere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25000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93"/>
          <w:tab w:val="left" w:pos="1080"/>
          <w:tab w:val="left" w:pos="1245"/>
        </w:tabs>
        <w:spacing w:after="0" w:line="240" w:lineRule="auto"/>
        <w:ind w:hanging="3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Baza angro (depozit)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15000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993"/>
        </w:tabs>
        <w:spacing w:after="0" w:line="240" w:lineRule="auto"/>
        <w:ind w:hanging="3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Unitate de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comerţ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suprafaţa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obiectului: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373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9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20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3600 centru; 3000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851"/>
          <w:tab w:val="left" w:pos="1276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20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40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5000 centru; 3600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851"/>
          <w:tab w:val="left" w:pos="1276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40 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nă la 60 m²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7000 centru; 4000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851"/>
          <w:tab w:val="left" w:pos="1276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60 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nă la 80 m²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10000 centru; 5000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851"/>
          <w:tab w:val="left" w:pos="1276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80 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nă la 100 m²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12000 centru; 6000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851"/>
          <w:tab w:val="left" w:pos="1276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100 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nă la 150 m²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15000 centru; 7500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851"/>
          <w:tab w:val="left" w:pos="1276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150 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nă la 300 </w:t>
      </w:r>
      <w:r>
        <w:rPr>
          <w:rFonts w:ascii="Times New Roman" w:hAnsi="Times New Roman" w:cs="Times New Roman"/>
          <w:sz w:val="28"/>
          <w:szCs w:val="28"/>
          <w:lang w:val="ro-RO"/>
        </w:rPr>
        <w:t>m²          20000 centru; 10000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851"/>
          <w:tab w:val="left" w:pos="1276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300 m² în sus                        40000 centru; 20000 periferie.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Unitate de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comerţ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suprafaţa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obiectului care nu comercializează produse alcoolice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produse din tutun: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9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20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2600 centru; 2000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20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40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4000 centru; 2500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40 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60 m²                 6000 centru; 3000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60 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80 m²                 8000 centru; 4000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80 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100 m²             10000 centru; 5000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100m²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nă la 150 m²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15000 centru; 7500 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150m²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300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2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20000 centru; 10000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de la 300 m² în sus                        40000 centru; 20000 periferie.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284"/>
          <w:tab w:val="left" w:pos="1134"/>
        </w:tabs>
        <w:spacing w:after="0" w:line="240" w:lineRule="auto"/>
        <w:ind w:left="788" w:hanging="4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Sală de ceremonii                                                                    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25000 lei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788" w:hanging="4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Comerț neefectuat prin magazine (automate de v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nzare)    1500 unitate;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Întreţinerea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reparaţia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vehiculelor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comerţul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cu amănuntul al pieselor         </w:t>
      </w:r>
    </w:p>
    <w:p w:rsidR="00A50F8F" w:rsidRPr="00247501" w:rsidRDefault="00A50F8F" w:rsidP="00A50F8F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componente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accesorii pentru autovehicule: 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  <w:tab w:val="left" w:pos="2127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întreţinerea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reparaţia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autovehiculelor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10000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  <w:tab w:val="left" w:pos="2127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spălătorie auto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6000 centru; 5000 periferie;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  <w:tab w:val="left" w:pos="2127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vulcanizare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2200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  <w:tab w:val="left" w:pos="2127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comerţul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cu amănuntul al pieselor componente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50F8F" w:rsidRPr="00247501" w:rsidRDefault="00A50F8F" w:rsidP="00A50F8F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accesorii pentru autovehic</w:t>
      </w:r>
      <w:r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le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6000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Prestări servicii, cu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excepţia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posesorilor de patente:</w:t>
      </w:r>
    </w:p>
    <w:p w:rsidR="00A50F8F" w:rsidRPr="00247501" w:rsidRDefault="00A50F8F" w:rsidP="00A50F8F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Activităţi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de servicii particulare: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  <w:tab w:val="left" w:pos="198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spălarea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curăţarea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, vopsirea textililor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blănurilor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3240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  <w:tab w:val="left" w:pos="198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spălarea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călcatul l</w:t>
      </w:r>
      <w:r>
        <w:rPr>
          <w:rFonts w:ascii="Times New Roman" w:hAnsi="Times New Roman" w:cs="Times New Roman"/>
          <w:sz w:val="28"/>
          <w:szCs w:val="28"/>
          <w:lang w:val="ro-RO"/>
        </w:rPr>
        <w:t>enje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riei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3240</w:t>
      </w:r>
    </w:p>
    <w:p w:rsidR="00A50F8F" w:rsidRPr="00EB2934" w:rsidRDefault="00A50F8F" w:rsidP="00A50F8F">
      <w:pPr>
        <w:numPr>
          <w:ilvl w:val="2"/>
          <w:numId w:val="10"/>
        </w:numPr>
        <w:tabs>
          <w:tab w:val="left" w:pos="1245"/>
          <w:tab w:val="left" w:pos="198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curăţirea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chimică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vopsirea   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3240</w:t>
      </w:r>
    </w:p>
    <w:p w:rsidR="00A50F8F" w:rsidRDefault="00A50F8F" w:rsidP="00A50F8F">
      <w:pPr>
        <w:numPr>
          <w:ilvl w:val="2"/>
          <w:numId w:val="10"/>
        </w:numPr>
        <w:tabs>
          <w:tab w:val="left" w:pos="1245"/>
          <w:tab w:val="left" w:pos="198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EB2934">
        <w:rPr>
          <w:rFonts w:ascii="Times New Roman" w:hAnsi="Times New Roman" w:cs="Times New Roman"/>
          <w:sz w:val="28"/>
          <w:szCs w:val="28"/>
          <w:lang w:val="ro-RO"/>
        </w:rPr>
        <w:t xml:space="preserve">servicii a cabinelor cosmetice inclusiv săli de fitness, </w:t>
      </w:r>
    </w:p>
    <w:p w:rsidR="00A50F8F" w:rsidRPr="00EB2934" w:rsidRDefault="00A50F8F" w:rsidP="00A50F8F">
      <w:pPr>
        <w:tabs>
          <w:tab w:val="left" w:pos="1245"/>
          <w:tab w:val="left" w:pos="1985"/>
        </w:tabs>
        <w:spacing w:after="0" w:line="240" w:lineRule="auto"/>
        <w:ind w:left="12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</w:t>
      </w:r>
      <w:r w:rsidRPr="00EB2934">
        <w:rPr>
          <w:rFonts w:ascii="Times New Roman" w:hAnsi="Times New Roman" w:cs="Times New Roman"/>
          <w:sz w:val="28"/>
          <w:szCs w:val="28"/>
          <w:lang w:val="ro-RO"/>
        </w:rPr>
        <w:t xml:space="preserve">săli de </w:t>
      </w:r>
      <w:proofErr w:type="spellStart"/>
      <w:r w:rsidRPr="00EB2934">
        <w:rPr>
          <w:rFonts w:ascii="Times New Roman" w:hAnsi="Times New Roman" w:cs="Times New Roman"/>
          <w:sz w:val="28"/>
          <w:szCs w:val="28"/>
          <w:lang w:val="ro-RO"/>
        </w:rPr>
        <w:t>forţă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EB2934">
        <w:rPr>
          <w:rFonts w:ascii="Times New Roman" w:hAnsi="Times New Roman" w:cs="Times New Roman"/>
          <w:b/>
          <w:i/>
          <w:sz w:val="28"/>
          <w:szCs w:val="28"/>
          <w:lang w:val="ro-RO"/>
        </w:rPr>
        <w:t>4000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  <w:tab w:val="left" w:pos="198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activități de întreținere corporală (saune)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3000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  <w:tab w:val="left" w:pos="198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prestarea serviciilor de alte genuri neprevăzute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A50F8F" w:rsidRPr="00247501" w:rsidRDefault="00A50F8F" w:rsidP="00A50F8F">
      <w:pPr>
        <w:tabs>
          <w:tab w:val="left" w:pos="1245"/>
        </w:tabs>
        <w:spacing w:after="0" w:line="240" w:lineRule="auto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în punct 1.18.1-1.18.5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3600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Activități recreative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jocuri de noroc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pariuri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77000</w:t>
      </w:r>
    </w:p>
    <w:p w:rsidR="00A50F8F" w:rsidRPr="00247501" w:rsidRDefault="00A50F8F" w:rsidP="00A50F8F">
      <w:pPr>
        <w:numPr>
          <w:ilvl w:val="2"/>
          <w:numId w:val="10"/>
        </w:numPr>
        <w:tabs>
          <w:tab w:val="left" w:pos="1245"/>
        </w:tabs>
        <w:spacing w:after="0" w:line="240" w:lineRule="auto"/>
        <w:ind w:hanging="231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Fr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zerie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500 lei un loc</w:t>
      </w:r>
    </w:p>
    <w:p w:rsidR="00A50F8F" w:rsidRPr="00247501" w:rsidRDefault="00A50F8F" w:rsidP="00A50F8F">
      <w:pPr>
        <w:numPr>
          <w:ilvl w:val="1"/>
          <w:numId w:val="10"/>
        </w:numPr>
        <w:tabs>
          <w:tab w:val="left" w:pos="1260"/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Comercializarea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producţiei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fa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bricate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10000</w:t>
      </w:r>
    </w:p>
    <w:p w:rsidR="00A50F8F" w:rsidRDefault="00A50F8F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17451" w:rsidRDefault="00517451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17451" w:rsidRDefault="00517451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17451" w:rsidRDefault="00517451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17451" w:rsidRPr="00247501" w:rsidRDefault="00517451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>Notă:</w:t>
      </w:r>
    </w:p>
    <w:p w:rsidR="00A50F8F" w:rsidRDefault="00A50F8F" w:rsidP="00A50F8F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0F8F">
        <w:rPr>
          <w:rFonts w:ascii="Times New Roman" w:hAnsi="Times New Roman" w:cs="Times New Roman"/>
          <w:b/>
          <w:i/>
          <w:sz w:val="28"/>
          <w:szCs w:val="28"/>
          <w:lang w:val="ro-RO"/>
        </w:rPr>
        <w:t>Tonetă</w:t>
      </w:r>
      <w:r w:rsidRPr="00A50F8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</w:t>
      </w:r>
      <w:r w:rsidRPr="00A50F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0F8F">
        <w:rPr>
          <w:rFonts w:ascii="Times New Roman" w:hAnsi="Times New Roman" w:cs="Times New Roman"/>
          <w:sz w:val="28"/>
          <w:szCs w:val="28"/>
          <w:lang w:val="ro-RO"/>
        </w:rPr>
        <w:t>construcţie</w:t>
      </w:r>
      <w:proofErr w:type="spellEnd"/>
      <w:r w:rsidRPr="00A50F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0F8F">
        <w:rPr>
          <w:rFonts w:ascii="Times New Roman" w:hAnsi="Times New Roman" w:cs="Times New Roman"/>
          <w:sz w:val="28"/>
          <w:szCs w:val="28"/>
          <w:lang w:val="ro-RO"/>
        </w:rPr>
        <w:t>uşor</w:t>
      </w:r>
      <w:proofErr w:type="spellEnd"/>
      <w:r w:rsidRPr="00A50F8F">
        <w:rPr>
          <w:rFonts w:ascii="Times New Roman" w:hAnsi="Times New Roman" w:cs="Times New Roman"/>
          <w:sz w:val="28"/>
          <w:szCs w:val="28"/>
          <w:lang w:val="ro-RO"/>
        </w:rPr>
        <w:t xml:space="preserve"> demontabilă, ce </w:t>
      </w:r>
      <w:proofErr w:type="spellStart"/>
      <w:r w:rsidRPr="00A50F8F">
        <w:rPr>
          <w:rFonts w:ascii="Times New Roman" w:hAnsi="Times New Roman" w:cs="Times New Roman"/>
          <w:sz w:val="28"/>
          <w:szCs w:val="28"/>
          <w:lang w:val="ro-RO"/>
        </w:rPr>
        <w:t>deţine</w:t>
      </w:r>
      <w:proofErr w:type="spellEnd"/>
      <w:r w:rsidRPr="00A50F8F">
        <w:rPr>
          <w:rFonts w:ascii="Times New Roman" w:hAnsi="Times New Roman" w:cs="Times New Roman"/>
          <w:sz w:val="28"/>
          <w:szCs w:val="28"/>
          <w:lang w:val="ro-RO"/>
        </w:rPr>
        <w:t xml:space="preserve"> un stoc de mărfuri pentru zi, fără a dispune de sală comercială </w:t>
      </w:r>
      <w:proofErr w:type="spellStart"/>
      <w:r w:rsidRPr="00A50F8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A50F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0F8F">
        <w:rPr>
          <w:rFonts w:ascii="Times New Roman" w:hAnsi="Times New Roman" w:cs="Times New Roman"/>
          <w:sz w:val="28"/>
          <w:szCs w:val="28"/>
          <w:lang w:val="ro-RO"/>
        </w:rPr>
        <w:t>spaţiu</w:t>
      </w:r>
      <w:proofErr w:type="spellEnd"/>
      <w:r w:rsidRPr="00A50F8F">
        <w:rPr>
          <w:rFonts w:ascii="Times New Roman" w:hAnsi="Times New Roman" w:cs="Times New Roman"/>
          <w:sz w:val="28"/>
          <w:szCs w:val="28"/>
          <w:lang w:val="ro-RO"/>
        </w:rPr>
        <w:t xml:space="preserve"> pentru păstrarea mărfurilor;</w:t>
      </w:r>
    </w:p>
    <w:p w:rsidR="00C337CB" w:rsidRPr="00C337CB" w:rsidRDefault="00C337CB" w:rsidP="00C337CB">
      <w:pPr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50F8F" w:rsidRDefault="00A50F8F" w:rsidP="00A50F8F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Gheretă</w:t>
      </w:r>
      <w:r w:rsidRPr="002475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construcţie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de fabrică utilată cu o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suprafaţă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totală de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12 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fără a dispune de </w:t>
      </w:r>
      <w:r w:rsidR="0016051F" w:rsidRPr="00247501">
        <w:rPr>
          <w:rFonts w:ascii="Times New Roman" w:hAnsi="Times New Roman" w:cs="Times New Roman"/>
          <w:sz w:val="28"/>
          <w:szCs w:val="28"/>
          <w:lang w:val="ro-RO"/>
        </w:rPr>
        <w:t>spațiu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pentru păstrarea mărfurilor;</w:t>
      </w:r>
    </w:p>
    <w:p w:rsidR="00C337CB" w:rsidRPr="00C337CB" w:rsidRDefault="00C337CB" w:rsidP="00C337CB">
      <w:pPr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50F8F" w:rsidRDefault="00A50F8F" w:rsidP="00A50F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Boutique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– unitate cu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suprafaţa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comercială de p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>nă la 30m</w:t>
      </w:r>
      <w:r w:rsidRPr="00247501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care </w:t>
      </w:r>
      <w:r w:rsidR="0016051F" w:rsidRPr="00247501">
        <w:rPr>
          <w:rFonts w:ascii="Times New Roman" w:hAnsi="Times New Roman" w:cs="Times New Roman"/>
          <w:sz w:val="28"/>
          <w:szCs w:val="28"/>
          <w:lang w:val="ro-RO"/>
        </w:rPr>
        <w:t>funcționează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în baza contractelor de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locaţiune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16051F" w:rsidRPr="00247501">
        <w:rPr>
          <w:rFonts w:ascii="Times New Roman" w:hAnsi="Times New Roman" w:cs="Times New Roman"/>
          <w:sz w:val="28"/>
          <w:szCs w:val="28"/>
          <w:lang w:val="ro-RO"/>
        </w:rPr>
        <w:t>spațiilor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comerciale din centre comerciale, magazine, încăperi;</w:t>
      </w:r>
    </w:p>
    <w:p w:rsidR="00C337CB" w:rsidRPr="00C337CB" w:rsidRDefault="00C337CB" w:rsidP="00C337C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50F8F" w:rsidRPr="00247501" w:rsidRDefault="00A50F8F" w:rsidP="00A50F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Fast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Food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– unitate care propune clientelei sale o servire rapidă de produse la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preţuri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unitare, oferta de produse se reduce la un sortiment limitat, bazat pe un singur produs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este prezentată pe panouri luminoase, preparatele sunt preluate de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clienţi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la casă în momentul achitării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consumate pe loc în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faţa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unităţii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se servesc în inve</w:t>
      </w:r>
      <w:r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tar de unică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folosinţă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0F8F" w:rsidRPr="00247501" w:rsidRDefault="00A50F8F" w:rsidP="00A50F8F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50F8F" w:rsidRPr="00247501" w:rsidRDefault="00A50F8F" w:rsidP="00A5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Pentru întreprinderile care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îşi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încep activitatea pe parcursul anului, taxa se va percepe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proporţional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timpului real lucrat.</w:t>
      </w:r>
    </w:p>
    <w:p w:rsidR="00A50F8F" w:rsidRPr="00247501" w:rsidRDefault="00A50F8F" w:rsidP="00A50F8F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50F8F" w:rsidRPr="00247501" w:rsidRDefault="00A50F8F" w:rsidP="00A5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În cazul stabilirii programului de lucru a întreprinderilor cu regim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non-stop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mărimea taxei se majorează cu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30%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faţă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de taxa stabilită.</w:t>
      </w: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50F8F" w:rsidRPr="00247501" w:rsidRDefault="00A50F8F" w:rsidP="00A5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Agenţii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economici care au activat în regim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non-stop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în anul 2017, la solicitare urmează a activa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non-stop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în anul 2018.</w:t>
      </w: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50F8F" w:rsidRPr="00247501" w:rsidRDefault="00A50F8F" w:rsidP="00A5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Agenţii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economici care au Notificat administrația publică locală despre inițierea activității de comerț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îşi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modifică denumirea întreprinderii, sediul, urmează să informeze despre modificările efectuate administrația publică locală.</w:t>
      </w: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50F8F" w:rsidRPr="00247501" w:rsidRDefault="00A50F8F" w:rsidP="00A5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Prezenta decizie intră în vigoare la data de </w:t>
      </w: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01 ianuarie 2018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urmează a fi adusă la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cunoştinţa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Direcţiei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Generale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Finanţe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a Consiliului raional Ialoveni, Inspectoratul fiscal de stat pe raionul Ialoveni, contribuabililor prin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afişare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site </w:t>
      </w:r>
      <w:r>
        <w:rPr>
          <w:rFonts w:ascii="Times New Roman" w:hAnsi="Times New Roman" w:cs="Times New Roman"/>
          <w:sz w:val="28"/>
          <w:szCs w:val="28"/>
          <w:lang w:val="ro-RO"/>
        </w:rPr>
        <w:t>ialoveni</w:t>
      </w:r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.md </w:t>
      </w:r>
      <w:proofErr w:type="spellStart"/>
      <w:r w:rsidRPr="00247501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247501">
        <w:rPr>
          <w:rFonts w:ascii="Times New Roman" w:hAnsi="Times New Roman" w:cs="Times New Roman"/>
          <w:sz w:val="28"/>
          <w:szCs w:val="28"/>
          <w:lang w:val="ro-RO"/>
        </w:rPr>
        <w:t xml:space="preserve"> în Buletinul informativ “Ialoveni”.</w:t>
      </w:r>
    </w:p>
    <w:p w:rsidR="00A50F8F" w:rsidRPr="00247501" w:rsidRDefault="00A50F8F" w:rsidP="00A50F8F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50F8F" w:rsidRPr="00247501" w:rsidRDefault="00A50F8F" w:rsidP="00A5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sz w:val="28"/>
          <w:szCs w:val="28"/>
          <w:lang w:val="ro-RO"/>
        </w:rPr>
        <w:t>Controlul executării prezentei decizii se pune în sarcina d</w:t>
      </w:r>
      <w:r w:rsidR="0016051F">
        <w:rPr>
          <w:rFonts w:ascii="Times New Roman" w:hAnsi="Times New Roman" w:cs="Times New Roman"/>
          <w:sz w:val="28"/>
          <w:szCs w:val="28"/>
          <w:lang w:val="ro-RO"/>
        </w:rPr>
        <w:t>nei Galina Savin, contabil-</w:t>
      </w:r>
      <w:proofErr w:type="spellStart"/>
      <w:r w:rsidR="0016051F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="001605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50F8F" w:rsidRDefault="00A50F8F" w:rsidP="00A50F8F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37CB" w:rsidRPr="00247501" w:rsidRDefault="00C337CB" w:rsidP="00A50F8F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A50F8F" w:rsidRPr="00247501" w:rsidRDefault="0016051F" w:rsidP="00160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Preşedinte</w:t>
      </w:r>
      <w:r w:rsidR="004E2553">
        <w:rPr>
          <w:rFonts w:ascii="Times New Roman" w:hAnsi="Times New Roman" w:cs="Times New Roman"/>
          <w:b/>
          <w:i/>
          <w:sz w:val="28"/>
          <w:szCs w:val="28"/>
          <w:lang w:val="ro-RO"/>
        </w:rPr>
        <w:t>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şedinţei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                                      Victor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Gonța</w:t>
      </w:r>
      <w:proofErr w:type="spellEnd"/>
    </w:p>
    <w:p w:rsidR="00A50F8F" w:rsidRPr="00247501" w:rsidRDefault="00A50F8F" w:rsidP="00A5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Contrasemnat:</w:t>
      </w:r>
    </w:p>
    <w:p w:rsidR="00A50F8F" w:rsidRPr="00247501" w:rsidRDefault="00A50F8F" w:rsidP="001605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Secretarul Consiliului orășenesc                                                 </w:t>
      </w:r>
      <w:proofErr w:type="spellStart"/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Lilia</w:t>
      </w:r>
      <w:proofErr w:type="spellEnd"/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Mîța</w:t>
      </w:r>
      <w:proofErr w:type="spellEnd"/>
    </w:p>
    <w:p w:rsidR="00A50F8F" w:rsidRPr="00247501" w:rsidRDefault="00A50F8F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91464" w:rsidRPr="007672A3" w:rsidRDefault="00D91464" w:rsidP="007672A3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sectPr w:rsidR="00D91464" w:rsidRPr="007672A3" w:rsidSect="00D12B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33"/>
    <w:multiLevelType w:val="hybridMultilevel"/>
    <w:tmpl w:val="A896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704"/>
    <w:multiLevelType w:val="multilevel"/>
    <w:tmpl w:val="9B5C9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DC7ACD"/>
    <w:multiLevelType w:val="hybridMultilevel"/>
    <w:tmpl w:val="12EEB4E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DC9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AE2D8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A62096"/>
    <w:multiLevelType w:val="hybridMultilevel"/>
    <w:tmpl w:val="88BA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02A17"/>
    <w:multiLevelType w:val="hybridMultilevel"/>
    <w:tmpl w:val="131EEB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5018E"/>
    <w:multiLevelType w:val="multilevel"/>
    <w:tmpl w:val="35543DE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0" w:hanging="72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7020" w:hanging="1080"/>
      </w:pPr>
    </w:lvl>
    <w:lvl w:ilvl="4">
      <w:start w:val="1"/>
      <w:numFmt w:val="decimal"/>
      <w:lvlText w:val="%1.%2.%3.%4.%5."/>
      <w:lvlJc w:val="left"/>
      <w:pPr>
        <w:ind w:left="9000" w:hanging="1080"/>
      </w:pPr>
    </w:lvl>
    <w:lvl w:ilvl="5">
      <w:start w:val="1"/>
      <w:numFmt w:val="decimal"/>
      <w:lvlText w:val="%1.%2.%3.%4.%5.%6."/>
      <w:lvlJc w:val="left"/>
      <w:pPr>
        <w:ind w:left="11340" w:hanging="1440"/>
      </w:pPr>
    </w:lvl>
    <w:lvl w:ilvl="6">
      <w:start w:val="1"/>
      <w:numFmt w:val="decimal"/>
      <w:lvlText w:val="%1.%2.%3.%4.%5.%6.%7."/>
      <w:lvlJc w:val="left"/>
      <w:pPr>
        <w:ind w:left="13680" w:hanging="1800"/>
      </w:pPr>
    </w:lvl>
    <w:lvl w:ilvl="7">
      <w:start w:val="1"/>
      <w:numFmt w:val="decimal"/>
      <w:lvlText w:val="%1.%2.%3.%4.%5.%6.%7.%8."/>
      <w:lvlJc w:val="left"/>
      <w:pPr>
        <w:ind w:left="15660" w:hanging="1800"/>
      </w:pPr>
    </w:lvl>
    <w:lvl w:ilvl="8">
      <w:start w:val="1"/>
      <w:numFmt w:val="decimal"/>
      <w:lvlText w:val="%1.%2.%3.%4.%5.%6.%7.%8.%9."/>
      <w:lvlJc w:val="left"/>
      <w:pPr>
        <w:ind w:left="18000" w:hanging="2160"/>
      </w:pPr>
    </w:lvl>
  </w:abstractNum>
  <w:abstractNum w:abstractNumId="6" w15:restartNumberingAfterBreak="0">
    <w:nsid w:val="43EB492B"/>
    <w:multiLevelType w:val="multilevel"/>
    <w:tmpl w:val="EF66A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o-R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1F0669"/>
    <w:multiLevelType w:val="hybridMultilevel"/>
    <w:tmpl w:val="E0EC5B2A"/>
    <w:lvl w:ilvl="0" w:tplc="39DC060E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C544000">
      <w:start w:val="1"/>
      <w:numFmt w:val="lowerRoman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C53E7"/>
    <w:multiLevelType w:val="hybridMultilevel"/>
    <w:tmpl w:val="904AFB92"/>
    <w:lvl w:ilvl="0" w:tplc="F726FBFC">
      <w:start w:val="10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7974DD2"/>
    <w:multiLevelType w:val="hybridMultilevel"/>
    <w:tmpl w:val="813C5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0D"/>
    <w:rsid w:val="0016051F"/>
    <w:rsid w:val="001A471C"/>
    <w:rsid w:val="00402079"/>
    <w:rsid w:val="004E2553"/>
    <w:rsid w:val="00517451"/>
    <w:rsid w:val="00520073"/>
    <w:rsid w:val="005835C3"/>
    <w:rsid w:val="006376A2"/>
    <w:rsid w:val="007672A3"/>
    <w:rsid w:val="007A7D0D"/>
    <w:rsid w:val="00821285"/>
    <w:rsid w:val="00A50F8F"/>
    <w:rsid w:val="00A863BC"/>
    <w:rsid w:val="00C337CB"/>
    <w:rsid w:val="00D07B44"/>
    <w:rsid w:val="00D12BDB"/>
    <w:rsid w:val="00D91464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F122"/>
  <w15:chartTrackingRefBased/>
  <w15:docId w15:val="{83B6DC04-D720-43BE-8073-3F37B63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7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2017-12-19T14:40:00Z</cp:lastPrinted>
  <dcterms:created xsi:type="dcterms:W3CDTF">2017-12-19T10:10:00Z</dcterms:created>
  <dcterms:modified xsi:type="dcterms:W3CDTF">2017-12-19T14:41:00Z</dcterms:modified>
</cp:coreProperties>
</file>